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185521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B61C14">
        <w:rPr>
          <w:rFonts w:ascii="Times New Roman" w:hAnsi="Times New Roman" w:cs="Times New Roman"/>
          <w:b/>
          <w:snapToGrid w:val="0"/>
        </w:rPr>
        <w:t>14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</w:t>
      </w:r>
      <w:r w:rsidR="00B61C14">
        <w:rPr>
          <w:rFonts w:ascii="Times New Roman" w:hAnsi="Times New Roman" w:cs="Times New Roman"/>
          <w:b/>
          <w:snapToGrid w:val="0"/>
        </w:rPr>
        <w:t>апреля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</w:t>
      </w:r>
      <w:r>
        <w:rPr>
          <w:rFonts w:ascii="Times New Roman" w:hAnsi="Times New Roman" w:cs="Times New Roman"/>
          <w:i/>
        </w:rPr>
        <w:t xml:space="preserve"> – 1 или 2</w:t>
      </w:r>
      <w:r w:rsidRPr="00623AAB">
        <w:rPr>
          <w:rFonts w:ascii="Times New Roman" w:hAnsi="Times New Roman" w:cs="Times New Roman"/>
          <w:i/>
        </w:rPr>
        <w:t>)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61C14" w:rsidRPr="00B61C14" w:rsidRDefault="000528BE" w:rsidP="00B61C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61C14" w:rsidRPr="00B61C14">
        <w:rPr>
          <w:rFonts w:ascii="Times New Roman" w:hAnsi="Times New Roman" w:cs="Times New Roman"/>
        </w:rPr>
        <w:t xml:space="preserve">оказывать сервисные услуги в сфере телевидения и радиовещания, указанных в Уставе Арендатора. </w:t>
      </w:r>
    </w:p>
    <w:p w:rsidR="000528BE" w:rsidRDefault="000528BE" w:rsidP="00B61C1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6349" w:rsidRDefault="003E6349" w:rsidP="007F2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lastRenderedPageBreak/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AFE8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32</cp:revision>
  <dcterms:created xsi:type="dcterms:W3CDTF">2023-11-02T13:45:00Z</dcterms:created>
  <dcterms:modified xsi:type="dcterms:W3CDTF">2025-04-04T08:10:00Z</dcterms:modified>
</cp:coreProperties>
</file>