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5436E" w:rsidRDefault="001122AC" w:rsidP="003B5373">
      <w:pPr>
        <w:jc w:val="right"/>
        <w:rPr>
          <w:b/>
          <w:color w:val="000000"/>
          <w:sz w:val="22"/>
          <w:szCs w:val="22"/>
        </w:rPr>
      </w:pPr>
      <w:r w:rsidRPr="0035436E">
        <w:rPr>
          <w:b/>
          <w:color w:val="000000"/>
          <w:sz w:val="22"/>
          <w:szCs w:val="22"/>
        </w:rPr>
        <w:t>Приложение № 3</w:t>
      </w:r>
    </w:p>
    <w:p w:rsidR="00DD3A21" w:rsidRPr="00E66005" w:rsidRDefault="001122AC" w:rsidP="003B5373">
      <w:pPr>
        <w:ind w:left="2832" w:firstLine="708"/>
        <w:jc w:val="right"/>
        <w:rPr>
          <w:b/>
          <w:color w:val="000000"/>
          <w:sz w:val="22"/>
          <w:szCs w:val="22"/>
        </w:rPr>
      </w:pPr>
      <w:r w:rsidRPr="00875797">
        <w:rPr>
          <w:b/>
          <w:color w:val="000000"/>
          <w:sz w:val="22"/>
          <w:szCs w:val="22"/>
        </w:rPr>
        <w:t xml:space="preserve">к Приказу </w:t>
      </w:r>
      <w:r w:rsidR="00AB7D8D" w:rsidRPr="00875797">
        <w:rPr>
          <w:b/>
          <w:color w:val="000000"/>
          <w:sz w:val="22"/>
          <w:szCs w:val="22"/>
        </w:rPr>
        <w:t>№</w:t>
      </w:r>
      <w:r w:rsidR="00D70043" w:rsidRPr="00875797">
        <w:rPr>
          <w:b/>
          <w:color w:val="000000"/>
          <w:sz w:val="22"/>
          <w:szCs w:val="22"/>
        </w:rPr>
        <w:t xml:space="preserve"> </w:t>
      </w:r>
      <w:r w:rsidR="005537CE">
        <w:rPr>
          <w:b/>
          <w:color w:val="000000"/>
          <w:sz w:val="22"/>
          <w:szCs w:val="22"/>
        </w:rPr>
        <w:t>87</w:t>
      </w:r>
    </w:p>
    <w:p w:rsidR="001122AC" w:rsidRPr="003B5373" w:rsidRDefault="00D66189" w:rsidP="003B5373">
      <w:pPr>
        <w:ind w:left="2832" w:firstLine="708"/>
        <w:jc w:val="right"/>
        <w:rPr>
          <w:b/>
          <w:color w:val="000000"/>
          <w:sz w:val="22"/>
          <w:szCs w:val="22"/>
        </w:rPr>
      </w:pPr>
      <w:r w:rsidRPr="00753239">
        <w:rPr>
          <w:b/>
          <w:color w:val="000000"/>
          <w:sz w:val="22"/>
          <w:szCs w:val="22"/>
        </w:rPr>
        <w:t>от «</w:t>
      </w:r>
      <w:r w:rsidR="005537CE">
        <w:rPr>
          <w:b/>
          <w:color w:val="000000"/>
          <w:sz w:val="22"/>
          <w:szCs w:val="22"/>
        </w:rPr>
        <w:t>06</w:t>
      </w:r>
      <w:bookmarkStart w:id="0" w:name="_GoBack"/>
      <w:bookmarkEnd w:id="0"/>
      <w:r w:rsidR="001122AC" w:rsidRPr="00753239">
        <w:rPr>
          <w:b/>
          <w:color w:val="000000"/>
          <w:sz w:val="22"/>
          <w:szCs w:val="22"/>
        </w:rPr>
        <w:t>»</w:t>
      </w:r>
      <w:r w:rsidR="001122AC" w:rsidRPr="00E66005">
        <w:rPr>
          <w:b/>
          <w:color w:val="000000"/>
          <w:sz w:val="22"/>
          <w:szCs w:val="22"/>
        </w:rPr>
        <w:t xml:space="preserve"> </w:t>
      </w:r>
      <w:r w:rsidR="00753239">
        <w:rPr>
          <w:b/>
          <w:color w:val="000000"/>
          <w:sz w:val="22"/>
          <w:szCs w:val="22"/>
        </w:rPr>
        <w:t>августа</w:t>
      </w:r>
      <w:r w:rsidR="00AC38B6">
        <w:rPr>
          <w:b/>
          <w:color w:val="000000"/>
          <w:sz w:val="22"/>
          <w:szCs w:val="22"/>
        </w:rPr>
        <w:t xml:space="preserve"> </w:t>
      </w:r>
      <w:r w:rsidR="001122AC" w:rsidRPr="00E66005">
        <w:rPr>
          <w:b/>
          <w:color w:val="000000"/>
          <w:sz w:val="22"/>
          <w:szCs w:val="22"/>
        </w:rPr>
        <w:t>20</w:t>
      </w:r>
      <w:r w:rsidR="0047369B" w:rsidRPr="00E66005">
        <w:rPr>
          <w:b/>
          <w:color w:val="000000"/>
          <w:sz w:val="22"/>
          <w:szCs w:val="22"/>
        </w:rPr>
        <w:t>2</w:t>
      </w:r>
      <w:r w:rsidR="00AC38B6">
        <w:rPr>
          <w:b/>
          <w:color w:val="000000"/>
          <w:sz w:val="22"/>
          <w:szCs w:val="22"/>
        </w:rPr>
        <w:t>5</w:t>
      </w:r>
      <w:r w:rsidR="001122AC" w:rsidRPr="00E6600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753239">
        <w:rPr>
          <w:b/>
          <w:bCs/>
          <w:color w:val="000000"/>
          <w:sz w:val="22"/>
          <w:szCs w:val="22"/>
        </w:rPr>
        <w:t>4</w:t>
      </w:r>
      <w:r w:rsidR="00EF1A85" w:rsidRPr="00A27CAE">
        <w:rPr>
          <w:b/>
          <w:bCs/>
          <w:color w:val="000000"/>
          <w:sz w:val="22"/>
          <w:szCs w:val="22"/>
        </w:rPr>
        <w:t xml:space="preserve"> </w:t>
      </w:r>
      <w:r w:rsidR="00753239">
        <w:rPr>
          <w:b/>
          <w:bCs/>
          <w:color w:val="000000"/>
          <w:sz w:val="22"/>
          <w:szCs w:val="22"/>
        </w:rPr>
        <w:t>сентября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753239" w:rsidRPr="001432D4" w:rsidTr="00682C04">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753239" w:rsidRPr="00AD562E" w:rsidRDefault="00753239" w:rsidP="00682C04">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753239" w:rsidRPr="001432D4" w:rsidRDefault="00753239" w:rsidP="00682C04">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753239" w:rsidRPr="001432D4" w:rsidTr="00682C04">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753239" w:rsidRPr="001432D4" w:rsidRDefault="00753239" w:rsidP="00682C04">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753239" w:rsidRPr="001432D4" w:rsidRDefault="00753239" w:rsidP="00682C04">
            <w:pPr>
              <w:jc w:val="center"/>
              <w:rPr>
                <w:b/>
                <w:bCs/>
                <w:sz w:val="16"/>
                <w:szCs w:val="16"/>
              </w:rPr>
            </w:pPr>
            <w:r w:rsidRPr="001432D4">
              <w:rPr>
                <w:b/>
                <w:bCs/>
                <w:sz w:val="16"/>
                <w:szCs w:val="16"/>
              </w:rPr>
              <w:t>9</w:t>
            </w:r>
          </w:p>
        </w:tc>
      </w:tr>
      <w:tr w:rsidR="00753239" w:rsidRPr="001432D4" w:rsidTr="00682C04">
        <w:trPr>
          <w:trHeight w:val="20"/>
          <w:jc w:val="center"/>
        </w:trPr>
        <w:tc>
          <w:tcPr>
            <w:tcW w:w="484" w:type="dxa"/>
            <w:vMerge w:val="restart"/>
            <w:tcBorders>
              <w:left w:val="single" w:sz="4" w:space="0" w:color="auto"/>
              <w:right w:val="single" w:sz="4" w:space="0" w:color="auto"/>
            </w:tcBorders>
            <w:vAlign w:val="center"/>
          </w:tcPr>
          <w:p w:rsidR="00753239" w:rsidRPr="001F700B" w:rsidRDefault="00753239" w:rsidP="00682C04">
            <w:pPr>
              <w:jc w:val="center"/>
              <w:rPr>
                <w:b/>
                <w:bCs/>
                <w:sz w:val="16"/>
                <w:szCs w:val="16"/>
                <w:lang w:val="en-US"/>
              </w:rPr>
            </w:pPr>
            <w:r>
              <w:rPr>
                <w:b/>
                <w:bCs/>
                <w:sz w:val="16"/>
                <w:szCs w:val="16"/>
                <w:lang w:val="en-US"/>
              </w:rPr>
              <w:t>1</w:t>
            </w:r>
          </w:p>
        </w:tc>
        <w:tc>
          <w:tcPr>
            <w:tcW w:w="9080" w:type="dxa"/>
            <w:gridSpan w:val="12"/>
            <w:tcBorders>
              <w:left w:val="single" w:sz="4" w:space="0" w:color="auto"/>
              <w:bottom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3354"/>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1101" w:type="dxa"/>
            <w:gridSpan w:val="2"/>
            <w:tcBorders>
              <w:left w:val="single" w:sz="4" w:space="0" w:color="auto"/>
              <w:right w:val="single" w:sz="4" w:space="0" w:color="auto"/>
            </w:tcBorders>
            <w:vAlign w:val="center"/>
          </w:tcPr>
          <w:p w:rsidR="00753239" w:rsidRPr="008C2080" w:rsidRDefault="00753239" w:rsidP="00682C04">
            <w:pPr>
              <w:spacing w:line="276" w:lineRule="auto"/>
              <w:jc w:val="center"/>
              <w:rPr>
                <w:sz w:val="16"/>
                <w:szCs w:val="16"/>
              </w:rPr>
            </w:pPr>
            <w:r>
              <w:rPr>
                <w:bCs/>
                <w:sz w:val="16"/>
                <w:szCs w:val="16"/>
              </w:rPr>
              <w:t>Часть №3 помещения 9, расположенного на 2-ом этаже Здания опытного завода, по адресу:  Республика Мордовия, г. Саранск, ул. Лодыгина д.3</w:t>
            </w:r>
          </w:p>
        </w:tc>
        <w:tc>
          <w:tcPr>
            <w:tcW w:w="1839" w:type="dxa"/>
            <w:gridSpan w:val="2"/>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jc w:val="center"/>
              <w:rPr>
                <w:b/>
                <w:bCs/>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8C2080" w:rsidRDefault="00753239" w:rsidP="00682C04">
            <w:pPr>
              <w:jc w:val="center"/>
              <w:rPr>
                <w:sz w:val="16"/>
                <w:szCs w:val="16"/>
              </w:rPr>
            </w:pPr>
            <w:r>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753239" w:rsidRPr="001432D4"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sidRPr="001432D4">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sidRPr="001432D4">
              <w:rPr>
                <w:b/>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w:t>
            </w:r>
          </w:p>
        </w:tc>
        <w:tc>
          <w:tcPr>
            <w:tcW w:w="1086"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Pr>
                <w:b/>
                <w:bCs/>
                <w:sz w:val="16"/>
                <w:szCs w:val="16"/>
              </w:rPr>
              <w:t>14 437,50</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r w:rsidRPr="001F700B">
              <w:rPr>
                <w:b/>
                <w:bCs/>
                <w:sz w:val="16"/>
                <w:szCs w:val="16"/>
              </w:rPr>
              <w:t>2</w:t>
            </w:r>
          </w:p>
        </w:tc>
        <w:tc>
          <w:tcPr>
            <w:tcW w:w="9073" w:type="dxa"/>
            <w:gridSpan w:val="11"/>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№6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№2</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14 437,50</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1F700B" w:rsidRDefault="00753239" w:rsidP="00682C04">
            <w:pPr>
              <w:jc w:val="center"/>
              <w:rPr>
                <w:b/>
                <w:bCs/>
                <w:sz w:val="16"/>
                <w:szCs w:val="16"/>
              </w:rPr>
            </w:pPr>
            <w:r w:rsidRPr="001F700B">
              <w:rPr>
                <w:b/>
                <w:bCs/>
                <w:sz w:val="16"/>
                <w:szCs w:val="16"/>
              </w:rPr>
              <w:t>3</w:t>
            </w:r>
          </w:p>
        </w:tc>
        <w:tc>
          <w:tcPr>
            <w:tcW w:w="9073" w:type="dxa"/>
            <w:gridSpan w:val="11"/>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№7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№3</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14 437,50</w:t>
            </w:r>
          </w:p>
        </w:tc>
      </w:tr>
      <w:tr w:rsidR="00753239" w:rsidRPr="001432D4" w:rsidTr="00682C04">
        <w:trPr>
          <w:gridAfter w:val="1"/>
          <w:wAfter w:w="7" w:type="dxa"/>
          <w:trHeight w:val="20"/>
          <w:jc w:val="center"/>
        </w:trPr>
        <w:tc>
          <w:tcPr>
            <w:tcW w:w="9557" w:type="dxa"/>
            <w:gridSpan w:val="12"/>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9557" w:type="dxa"/>
            <w:gridSpan w:val="12"/>
            <w:tcBorders>
              <w:left w:val="single" w:sz="4" w:space="0" w:color="auto"/>
              <w:right w:val="single" w:sz="4" w:space="0" w:color="auto"/>
            </w:tcBorders>
            <w:vAlign w:val="center"/>
          </w:tcPr>
          <w:p w:rsidR="00753239"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r w:rsidRPr="001F700B">
              <w:rPr>
                <w:b/>
                <w:bCs/>
                <w:sz w:val="16"/>
                <w:szCs w:val="16"/>
              </w:rPr>
              <w:t>4</w:t>
            </w: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w:t>
            </w:r>
            <w:r w:rsidRPr="001432D4">
              <w:rPr>
                <w:spacing w:val="-4"/>
                <w:sz w:val="16"/>
                <w:szCs w:val="16"/>
              </w:rPr>
              <w:lastRenderedPageBreak/>
              <w:t>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lastRenderedPageBreak/>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№4</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w:t>
            </w:r>
          </w:p>
        </w:tc>
      </w:tr>
      <w:tr w:rsidR="00753239" w:rsidRPr="001432D4" w:rsidTr="00682C04">
        <w:trPr>
          <w:gridAfter w:val="1"/>
          <w:wAfter w:w="7" w:type="dxa"/>
          <w:trHeight w:val="20"/>
          <w:jc w:val="center"/>
        </w:trPr>
        <w:tc>
          <w:tcPr>
            <w:tcW w:w="9557" w:type="dxa"/>
            <w:gridSpan w:val="12"/>
            <w:tcBorders>
              <w:left w:val="single" w:sz="4" w:space="0" w:color="auto"/>
              <w:right w:val="single" w:sz="4" w:space="0" w:color="auto"/>
            </w:tcBorders>
            <w:vAlign w:val="center"/>
          </w:tcPr>
          <w:p w:rsidR="00753239"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r>
              <w:rPr>
                <w:b/>
                <w:bCs/>
                <w:sz w:val="16"/>
                <w:szCs w:val="16"/>
              </w:rPr>
              <w:t>5</w:t>
            </w: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№5</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w:t>
            </w:r>
          </w:p>
        </w:tc>
      </w:tr>
      <w:tr w:rsidR="00753239" w:rsidRPr="001432D4" w:rsidTr="00682C04">
        <w:trPr>
          <w:gridAfter w:val="1"/>
          <w:wAfter w:w="7" w:type="dxa"/>
          <w:trHeight w:val="20"/>
          <w:jc w:val="center"/>
        </w:trPr>
        <w:tc>
          <w:tcPr>
            <w:tcW w:w="9557" w:type="dxa"/>
            <w:gridSpan w:val="12"/>
            <w:tcBorders>
              <w:left w:val="single" w:sz="4" w:space="0" w:color="auto"/>
              <w:right w:val="single" w:sz="4" w:space="0" w:color="auto"/>
            </w:tcBorders>
            <w:vAlign w:val="center"/>
          </w:tcPr>
          <w:p w:rsidR="00753239"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0E62B5" w:rsidRDefault="00753239" w:rsidP="00682C04">
            <w:pPr>
              <w:jc w:val="center"/>
              <w:rPr>
                <w:b/>
                <w:bCs/>
                <w:sz w:val="16"/>
                <w:szCs w:val="16"/>
              </w:rPr>
            </w:pPr>
            <w:r>
              <w:rPr>
                <w:b/>
                <w:bCs/>
                <w:sz w:val="16"/>
                <w:szCs w:val="16"/>
              </w:rPr>
              <w:t>6</w:t>
            </w: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5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№6</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14 437,50</w:t>
            </w:r>
          </w:p>
        </w:tc>
      </w:tr>
      <w:tr w:rsidR="00753239" w:rsidRPr="001432D4" w:rsidTr="00682C04">
        <w:trPr>
          <w:gridAfter w:val="1"/>
          <w:wAfter w:w="7" w:type="dxa"/>
          <w:trHeight w:val="20"/>
          <w:jc w:val="center"/>
        </w:trPr>
        <w:tc>
          <w:tcPr>
            <w:tcW w:w="9557" w:type="dxa"/>
            <w:gridSpan w:val="12"/>
            <w:tcBorders>
              <w:left w:val="single" w:sz="4" w:space="0" w:color="auto"/>
              <w:right w:val="single" w:sz="4" w:space="0" w:color="auto"/>
            </w:tcBorders>
            <w:vAlign w:val="center"/>
          </w:tcPr>
          <w:p w:rsidR="00753239" w:rsidRDefault="00753239" w:rsidP="00682C04">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753239" w:rsidRPr="001432D4" w:rsidTr="00682C04">
        <w:trPr>
          <w:gridAfter w:val="1"/>
          <w:wAfter w:w="7" w:type="dxa"/>
          <w:trHeight w:val="20"/>
          <w:jc w:val="center"/>
        </w:trPr>
        <w:tc>
          <w:tcPr>
            <w:tcW w:w="484" w:type="dxa"/>
            <w:vMerge w:val="restart"/>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r w:rsidRPr="001F700B">
              <w:rPr>
                <w:b/>
                <w:bCs/>
                <w:sz w:val="16"/>
                <w:szCs w:val="16"/>
              </w:rPr>
              <w:t>7</w:t>
            </w:r>
          </w:p>
        </w:tc>
        <w:tc>
          <w:tcPr>
            <w:tcW w:w="1071" w:type="dxa"/>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6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753239" w:rsidRPr="001432D4" w:rsidRDefault="00753239" w:rsidP="00682C04">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753239" w:rsidRPr="001432D4" w:rsidRDefault="00753239" w:rsidP="00682C04">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53239" w:rsidRPr="00D416C1" w:rsidRDefault="00753239" w:rsidP="00682C04">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753239" w:rsidRPr="001432D4" w:rsidRDefault="00753239" w:rsidP="00682C04">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753239" w:rsidRPr="001432D4" w:rsidRDefault="00753239" w:rsidP="00682C04">
            <w:pPr>
              <w:jc w:val="center"/>
              <w:rPr>
                <w:bCs/>
                <w:sz w:val="16"/>
                <w:szCs w:val="16"/>
              </w:rPr>
            </w:pPr>
            <w:r>
              <w:rPr>
                <w:bCs/>
                <w:sz w:val="16"/>
                <w:szCs w:val="16"/>
              </w:rPr>
              <w:t>14 437,50</w:t>
            </w:r>
          </w:p>
        </w:tc>
      </w:tr>
      <w:tr w:rsidR="00753239" w:rsidRPr="001432D4" w:rsidTr="00682C04">
        <w:trPr>
          <w:gridAfter w:val="1"/>
          <w:wAfter w:w="7" w:type="dxa"/>
          <w:trHeight w:val="20"/>
          <w:jc w:val="center"/>
        </w:trPr>
        <w:tc>
          <w:tcPr>
            <w:tcW w:w="484" w:type="dxa"/>
            <w:vMerge/>
            <w:tcBorders>
              <w:left w:val="single" w:sz="4" w:space="0" w:color="auto"/>
              <w:right w:val="single" w:sz="4" w:space="0" w:color="auto"/>
            </w:tcBorders>
            <w:vAlign w:val="center"/>
          </w:tcPr>
          <w:p w:rsidR="00753239" w:rsidRPr="001432D4" w:rsidRDefault="00753239" w:rsidP="00682C04">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Pr>
                <w:b/>
                <w:spacing w:val="-4"/>
                <w:sz w:val="16"/>
                <w:szCs w:val="16"/>
              </w:rPr>
              <w:t>Итого по лоту №7</w:t>
            </w:r>
          </w:p>
        </w:tc>
        <w:tc>
          <w:tcPr>
            <w:tcW w:w="791" w:type="dxa"/>
            <w:tcBorders>
              <w:left w:val="single" w:sz="4" w:space="0" w:color="auto"/>
              <w:right w:val="single" w:sz="4" w:space="0" w:color="000000"/>
            </w:tcBorders>
            <w:vAlign w:val="center"/>
          </w:tcPr>
          <w:p w:rsidR="00753239" w:rsidRDefault="00753239" w:rsidP="00682C04">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753239" w:rsidRPr="001432D4" w:rsidRDefault="00753239" w:rsidP="00682C04">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753239" w:rsidRDefault="00753239" w:rsidP="00682C04">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right w:val="single" w:sz="4" w:space="0" w:color="auto"/>
            </w:tcBorders>
            <w:vAlign w:val="center"/>
          </w:tcPr>
          <w:p w:rsidR="00753239" w:rsidRDefault="00753239" w:rsidP="00682C04">
            <w:pPr>
              <w:jc w:val="center"/>
              <w:rPr>
                <w:b/>
                <w:bCs/>
                <w:sz w:val="16"/>
                <w:szCs w:val="16"/>
              </w:rPr>
            </w:pPr>
            <w:r>
              <w:rPr>
                <w:b/>
                <w:bCs/>
                <w:sz w:val="16"/>
                <w:szCs w:val="16"/>
              </w:rPr>
              <w:t>14 437,50</w:t>
            </w:r>
          </w:p>
        </w:tc>
      </w:tr>
      <w:tr w:rsidR="00753239" w:rsidRPr="001432D4" w:rsidTr="00682C04">
        <w:trPr>
          <w:gridAfter w:val="1"/>
          <w:wAfter w:w="7" w:type="dxa"/>
          <w:trHeight w:val="20"/>
          <w:jc w:val="center"/>
        </w:trPr>
        <w:tc>
          <w:tcPr>
            <w:tcW w:w="3424" w:type="dxa"/>
            <w:gridSpan w:val="5"/>
            <w:tcBorders>
              <w:left w:val="single" w:sz="4" w:space="0" w:color="auto"/>
              <w:right w:val="single" w:sz="4" w:space="0" w:color="auto"/>
            </w:tcBorders>
            <w:vAlign w:val="center"/>
          </w:tcPr>
          <w:p w:rsidR="00753239" w:rsidRPr="001432D4" w:rsidRDefault="00753239" w:rsidP="00682C04">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753239" w:rsidRPr="001432D4" w:rsidRDefault="00753239" w:rsidP="00682C04">
            <w:pPr>
              <w:jc w:val="center"/>
              <w:rPr>
                <w:b/>
                <w:sz w:val="16"/>
                <w:szCs w:val="16"/>
              </w:rPr>
            </w:pPr>
            <w:r>
              <w:rPr>
                <w:b/>
                <w:sz w:val="16"/>
                <w:szCs w:val="16"/>
              </w:rPr>
              <w:t>35,0</w:t>
            </w:r>
          </w:p>
        </w:tc>
        <w:tc>
          <w:tcPr>
            <w:tcW w:w="1518" w:type="dxa"/>
            <w:tcBorders>
              <w:left w:val="single" w:sz="4" w:space="0" w:color="000000"/>
              <w:bottom w:val="single" w:sz="4" w:space="0" w:color="auto"/>
              <w:right w:val="single" w:sz="4" w:space="0" w:color="000000"/>
            </w:tcBorders>
            <w:vAlign w:val="center"/>
          </w:tcPr>
          <w:p w:rsidR="00753239" w:rsidRPr="001432D4" w:rsidRDefault="00753239" w:rsidP="00682C04">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753239" w:rsidRPr="001432D4" w:rsidRDefault="00753239" w:rsidP="00682C04">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753239" w:rsidRPr="001432D4" w:rsidRDefault="00753239" w:rsidP="00682C04">
            <w:pPr>
              <w:jc w:val="center"/>
              <w:rPr>
                <w:b/>
                <w:sz w:val="16"/>
                <w:szCs w:val="16"/>
              </w:rPr>
            </w:pPr>
            <w:r>
              <w:rPr>
                <w:b/>
                <w:sz w:val="16"/>
                <w:szCs w:val="16"/>
              </w:rPr>
              <w:t>9 187,50</w:t>
            </w:r>
          </w:p>
        </w:tc>
        <w:tc>
          <w:tcPr>
            <w:tcW w:w="899" w:type="dxa"/>
            <w:tcBorders>
              <w:left w:val="single" w:sz="4" w:space="0" w:color="auto"/>
              <w:bottom w:val="single" w:sz="4" w:space="0" w:color="auto"/>
              <w:right w:val="single" w:sz="4" w:space="0" w:color="auto"/>
            </w:tcBorders>
            <w:vAlign w:val="center"/>
          </w:tcPr>
          <w:p w:rsidR="00753239" w:rsidRPr="001432D4" w:rsidRDefault="00753239" w:rsidP="00682C04">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753239" w:rsidRPr="001432D4" w:rsidRDefault="00753239" w:rsidP="00682C04">
            <w:pPr>
              <w:jc w:val="center"/>
              <w:rPr>
                <w:b/>
                <w:bCs/>
                <w:sz w:val="16"/>
                <w:szCs w:val="16"/>
              </w:rPr>
            </w:pPr>
            <w:r>
              <w:rPr>
                <w:b/>
                <w:bCs/>
                <w:sz w:val="16"/>
                <w:szCs w:val="16"/>
              </w:rPr>
              <w:t>101 062,50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753239" w:rsidRPr="00753239">
        <w:rPr>
          <w:color w:val="000000"/>
          <w:sz w:val="22"/>
          <w:szCs w:val="22"/>
        </w:rPr>
        <w:t>7</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lastRenderedPageBreak/>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753239">
        <w:rPr>
          <w:b/>
          <w:snapToGrid w:val="0"/>
          <w:sz w:val="22"/>
          <w:szCs w:val="22"/>
        </w:rPr>
        <w:t>12</w:t>
      </w:r>
      <w:r w:rsidR="00D2246D" w:rsidRPr="00F46432">
        <w:rPr>
          <w:b/>
          <w:snapToGrid w:val="0"/>
          <w:sz w:val="22"/>
          <w:szCs w:val="22"/>
        </w:rPr>
        <w:t>.0</w:t>
      </w:r>
      <w:r w:rsidR="00753239">
        <w:rPr>
          <w:b/>
          <w:snapToGrid w:val="0"/>
          <w:sz w:val="22"/>
          <w:szCs w:val="22"/>
        </w:rPr>
        <w:t>8</w:t>
      </w:r>
      <w:r w:rsidR="00D2246D" w:rsidRPr="00F46432">
        <w:rPr>
          <w:b/>
          <w:snapToGrid w:val="0"/>
          <w:sz w:val="22"/>
          <w:szCs w:val="22"/>
        </w:rPr>
        <w:t>.2025</w:t>
      </w:r>
      <w:r w:rsidRPr="00F46432">
        <w:rPr>
          <w:b/>
          <w:snapToGrid w:val="0"/>
          <w:sz w:val="22"/>
          <w:szCs w:val="22"/>
        </w:rPr>
        <w:t xml:space="preserve"> г. по </w:t>
      </w:r>
      <w:r w:rsidR="00753239">
        <w:rPr>
          <w:b/>
          <w:snapToGrid w:val="0"/>
          <w:sz w:val="22"/>
          <w:szCs w:val="22"/>
        </w:rPr>
        <w:t>1</w:t>
      </w:r>
      <w:r w:rsidR="00D2246D" w:rsidRPr="00F46432">
        <w:rPr>
          <w:b/>
          <w:snapToGrid w:val="0"/>
          <w:sz w:val="22"/>
          <w:szCs w:val="22"/>
        </w:rPr>
        <w:t>.0</w:t>
      </w:r>
      <w:r w:rsidR="00753239">
        <w:rPr>
          <w:b/>
          <w:snapToGrid w:val="0"/>
          <w:sz w:val="22"/>
          <w:szCs w:val="22"/>
        </w:rPr>
        <w:t>9</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753239">
        <w:rPr>
          <w:b/>
          <w:snapToGrid w:val="0"/>
          <w:sz w:val="22"/>
          <w:szCs w:val="22"/>
        </w:rPr>
        <w:t>1</w:t>
      </w:r>
      <w:r w:rsidR="00D2246D" w:rsidRPr="002275A5">
        <w:rPr>
          <w:b/>
          <w:snapToGrid w:val="0"/>
          <w:sz w:val="22"/>
          <w:szCs w:val="22"/>
        </w:rPr>
        <w:t>.</w:t>
      </w:r>
      <w:r w:rsidR="00D2246D" w:rsidRPr="00F46432">
        <w:rPr>
          <w:b/>
          <w:snapToGrid w:val="0"/>
          <w:sz w:val="22"/>
          <w:szCs w:val="22"/>
        </w:rPr>
        <w:t>0</w:t>
      </w:r>
      <w:r w:rsidR="00753239">
        <w:rPr>
          <w:b/>
          <w:snapToGrid w:val="0"/>
          <w:sz w:val="22"/>
          <w:szCs w:val="22"/>
        </w:rPr>
        <w:t>9</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F46432">
        <w:rPr>
          <w:snapToGrid w:val="0"/>
          <w:sz w:val="22"/>
          <w:szCs w:val="22"/>
        </w:rPr>
        <w:lastRenderedPageBreak/>
        <w:t>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53239" w:rsidRPr="00D8660C" w:rsidTr="00682C04">
        <w:trPr>
          <w:jc w:val="center"/>
        </w:trPr>
        <w:tc>
          <w:tcPr>
            <w:tcW w:w="1674" w:type="dxa"/>
            <w:vAlign w:val="center"/>
          </w:tcPr>
          <w:p w:rsidR="00753239" w:rsidRPr="00D8660C" w:rsidRDefault="00753239" w:rsidP="00682C04">
            <w:pPr>
              <w:jc w:val="center"/>
              <w:rPr>
                <w:b/>
                <w:shd w:val="clear" w:color="auto" w:fill="FFFFFF"/>
              </w:rPr>
            </w:pPr>
            <w:r w:rsidRPr="00D8660C">
              <w:rPr>
                <w:b/>
                <w:shd w:val="clear" w:color="auto" w:fill="FFFFFF"/>
              </w:rPr>
              <w:t>№ п/п</w:t>
            </w:r>
          </w:p>
        </w:tc>
        <w:tc>
          <w:tcPr>
            <w:tcW w:w="2234"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Номер лота</w:t>
            </w:r>
          </w:p>
        </w:tc>
        <w:tc>
          <w:tcPr>
            <w:tcW w:w="6287"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 xml:space="preserve">Размер задатка (10% начальной (минимальной) цены договора (цены лота) в месяц), в </w:t>
            </w:r>
            <w:proofErr w:type="spellStart"/>
            <w:r w:rsidRPr="00D8660C">
              <w:rPr>
                <w:b/>
                <w:shd w:val="clear" w:color="auto" w:fill="FFFFFF"/>
              </w:rPr>
              <w:t>т.ч</w:t>
            </w:r>
            <w:proofErr w:type="spellEnd"/>
            <w:r w:rsidRPr="00D8660C">
              <w:rPr>
                <w:b/>
                <w:shd w:val="clear" w:color="auto" w:fill="FFFFFF"/>
              </w:rPr>
              <w:t>. НД</w:t>
            </w:r>
            <w:r w:rsidRPr="00D8660C">
              <w:rPr>
                <w:b/>
                <w:bCs/>
              </w:rPr>
              <w:t>С 5%,</w:t>
            </w:r>
            <w:r w:rsidRPr="00D8660C">
              <w:rPr>
                <w:b/>
              </w:rPr>
              <w:t xml:space="preserve"> </w:t>
            </w:r>
            <w:r w:rsidRPr="00D8660C">
              <w:rPr>
                <w:b/>
                <w:shd w:val="clear" w:color="auto" w:fill="FFFFFF"/>
              </w:rPr>
              <w:t>руб.</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1</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1</w:t>
            </w:r>
          </w:p>
        </w:tc>
        <w:tc>
          <w:tcPr>
            <w:tcW w:w="6287" w:type="dxa"/>
            <w:shd w:val="clear" w:color="auto" w:fill="auto"/>
            <w:vAlign w:val="center"/>
          </w:tcPr>
          <w:p w:rsidR="00753239" w:rsidRPr="00D8660C" w:rsidRDefault="00753239" w:rsidP="00682C04">
            <w:pPr>
              <w:jc w:val="center"/>
              <w:rPr>
                <w:shd w:val="clear" w:color="auto" w:fill="FFFFFF"/>
              </w:rPr>
            </w:pPr>
            <w:r>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2</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2</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3</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3</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4</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4</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5</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5</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6</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6</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7</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7</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lastRenderedPageBreak/>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2275A5" w:rsidRPr="002275A5">
        <w:rPr>
          <w:color w:val="000000"/>
          <w:sz w:val="22"/>
          <w:szCs w:val="22"/>
        </w:rPr>
        <w:t>2</w:t>
      </w:r>
      <w:r w:rsidR="00D2246D" w:rsidRPr="002275A5">
        <w:rPr>
          <w:color w:val="000000"/>
          <w:sz w:val="22"/>
          <w:szCs w:val="22"/>
        </w:rPr>
        <w:t xml:space="preserve"> </w:t>
      </w:r>
      <w:r w:rsidR="00753239">
        <w:rPr>
          <w:color w:val="000000"/>
          <w:sz w:val="22"/>
          <w:szCs w:val="22"/>
        </w:rPr>
        <w:t>сентября</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753239" w:rsidRPr="00C05D11" w:rsidTr="00682C04">
        <w:trPr>
          <w:trHeight w:val="1084"/>
        </w:trPr>
        <w:tc>
          <w:tcPr>
            <w:tcW w:w="416" w:type="dxa"/>
            <w:vAlign w:val="center"/>
            <w:hideMark/>
          </w:tcPr>
          <w:p w:rsidR="00753239" w:rsidRPr="00C05D11" w:rsidRDefault="00753239" w:rsidP="00682C04">
            <w:pPr>
              <w:jc w:val="center"/>
              <w:rPr>
                <w:sz w:val="18"/>
                <w:szCs w:val="18"/>
              </w:rPr>
            </w:pPr>
            <w:r w:rsidRPr="00C05D11">
              <w:rPr>
                <w:sz w:val="18"/>
                <w:szCs w:val="18"/>
              </w:rPr>
              <w:t>№ лота</w:t>
            </w:r>
          </w:p>
        </w:tc>
        <w:tc>
          <w:tcPr>
            <w:tcW w:w="6237" w:type="dxa"/>
            <w:vAlign w:val="center"/>
            <w:hideMark/>
          </w:tcPr>
          <w:p w:rsidR="00753239" w:rsidRPr="00C05D11" w:rsidRDefault="00753239" w:rsidP="00682C04">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753239" w:rsidRPr="00C05D11" w:rsidRDefault="00753239" w:rsidP="00682C04">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753239" w:rsidRPr="00C05D11" w:rsidRDefault="00753239" w:rsidP="00682C04">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753239" w:rsidRPr="00C05D11" w:rsidRDefault="00753239" w:rsidP="00682C04">
            <w:pPr>
              <w:jc w:val="center"/>
              <w:textAlignment w:val="center"/>
              <w:rPr>
                <w:rFonts w:eastAsia="Arial Unicode MS"/>
                <w:sz w:val="18"/>
                <w:szCs w:val="18"/>
              </w:rPr>
            </w:pPr>
            <w:r w:rsidRPr="00C05D11">
              <w:rPr>
                <w:rFonts w:eastAsia="Arial Unicode MS"/>
                <w:sz w:val="18"/>
                <w:szCs w:val="18"/>
              </w:rPr>
              <w:t>Величина повышения</w:t>
            </w:r>
          </w:p>
          <w:p w:rsidR="00753239" w:rsidRPr="00C05D11" w:rsidRDefault="00753239" w:rsidP="00682C04">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753239" w:rsidRPr="00C05D11" w:rsidTr="00682C04">
        <w:trPr>
          <w:trHeight w:val="685"/>
        </w:trPr>
        <w:tc>
          <w:tcPr>
            <w:tcW w:w="416" w:type="dxa"/>
            <w:vAlign w:val="center"/>
          </w:tcPr>
          <w:p w:rsidR="00753239" w:rsidRPr="00C05D11" w:rsidRDefault="00753239" w:rsidP="00682C04">
            <w:pPr>
              <w:jc w:val="center"/>
              <w:rPr>
                <w:b/>
                <w:sz w:val="18"/>
                <w:szCs w:val="18"/>
              </w:rPr>
            </w:pPr>
            <w:r>
              <w:rPr>
                <w:b/>
                <w:sz w:val="18"/>
                <w:szCs w:val="18"/>
              </w:rPr>
              <w:t>1</w:t>
            </w:r>
          </w:p>
        </w:tc>
        <w:tc>
          <w:tcPr>
            <w:tcW w:w="6237" w:type="dxa"/>
            <w:vAlign w:val="center"/>
          </w:tcPr>
          <w:p w:rsidR="00753239" w:rsidRPr="00D20B3A" w:rsidRDefault="00753239" w:rsidP="00682C04">
            <w:pPr>
              <w:jc w:val="both"/>
              <w:rPr>
                <w:sz w:val="18"/>
                <w:szCs w:val="18"/>
              </w:rPr>
            </w:pPr>
            <w:r w:rsidRPr="00D20B3A">
              <w:rPr>
                <w:bCs/>
                <w:sz w:val="18"/>
                <w:szCs w:val="18"/>
              </w:rPr>
              <w:t xml:space="preserve">Часть №3 </w:t>
            </w:r>
            <w:r>
              <w:rPr>
                <w:bCs/>
                <w:sz w:val="18"/>
                <w:szCs w:val="18"/>
              </w:rPr>
              <w:t xml:space="preserve">офисного </w:t>
            </w:r>
            <w:r w:rsidRPr="00D20B3A">
              <w:rPr>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Pr="00C05D11"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2</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6</w:t>
            </w:r>
            <w:r w:rsidRPr="00D20B3A">
              <w:rPr>
                <w:bCs/>
                <w:sz w:val="18"/>
                <w:szCs w:val="18"/>
              </w:rPr>
              <w:t xml:space="preserve"> </w:t>
            </w:r>
            <w:r>
              <w:rPr>
                <w:bCs/>
                <w:sz w:val="18"/>
                <w:szCs w:val="18"/>
              </w:rPr>
              <w:t xml:space="preserve">офисного </w:t>
            </w:r>
            <w:r w:rsidRPr="00D20B3A">
              <w:rPr>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3</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7</w:t>
            </w:r>
            <w:r w:rsidRPr="00D20B3A">
              <w:rPr>
                <w:bCs/>
                <w:sz w:val="18"/>
                <w:szCs w:val="18"/>
              </w:rPr>
              <w:t xml:space="preserve"> </w:t>
            </w:r>
            <w:r>
              <w:rPr>
                <w:bCs/>
                <w:sz w:val="18"/>
                <w:szCs w:val="18"/>
              </w:rPr>
              <w:t xml:space="preserve">офисного </w:t>
            </w:r>
            <w:r w:rsidRPr="00D20B3A">
              <w:rPr>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4</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13</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5</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14</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6</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15 офисного</w:t>
            </w:r>
            <w:r w:rsidRPr="00D20B3A">
              <w:rPr>
                <w:bCs/>
                <w:sz w:val="18"/>
                <w:szCs w:val="18"/>
              </w:rPr>
              <w:t xml:space="preserve"> 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r w:rsidR="00753239" w:rsidRPr="00C05D11" w:rsidTr="00682C04">
        <w:trPr>
          <w:trHeight w:val="685"/>
        </w:trPr>
        <w:tc>
          <w:tcPr>
            <w:tcW w:w="416" w:type="dxa"/>
            <w:vAlign w:val="center"/>
          </w:tcPr>
          <w:p w:rsidR="00753239" w:rsidRDefault="00753239" w:rsidP="00682C04">
            <w:pPr>
              <w:jc w:val="center"/>
              <w:rPr>
                <w:b/>
                <w:sz w:val="18"/>
                <w:szCs w:val="18"/>
              </w:rPr>
            </w:pPr>
            <w:r>
              <w:rPr>
                <w:b/>
                <w:sz w:val="18"/>
                <w:szCs w:val="18"/>
              </w:rPr>
              <w:t>7</w:t>
            </w:r>
          </w:p>
        </w:tc>
        <w:tc>
          <w:tcPr>
            <w:tcW w:w="6237" w:type="dxa"/>
            <w:vAlign w:val="center"/>
          </w:tcPr>
          <w:p w:rsidR="00753239" w:rsidRPr="00D20B3A" w:rsidRDefault="00753239" w:rsidP="00682C04">
            <w:pPr>
              <w:jc w:val="both"/>
              <w:rPr>
                <w:sz w:val="18"/>
                <w:szCs w:val="18"/>
              </w:rPr>
            </w:pPr>
            <w:r w:rsidRPr="00D20B3A">
              <w:rPr>
                <w:bCs/>
                <w:sz w:val="18"/>
                <w:szCs w:val="18"/>
              </w:rPr>
              <w:t>Часть №</w:t>
            </w:r>
            <w:r>
              <w:rPr>
                <w:bCs/>
                <w:sz w:val="18"/>
                <w:szCs w:val="18"/>
              </w:rPr>
              <w:t>16 офисного</w:t>
            </w:r>
            <w:r w:rsidRPr="00D20B3A">
              <w:rPr>
                <w:bCs/>
                <w:sz w:val="18"/>
                <w:szCs w:val="18"/>
              </w:rPr>
              <w:t xml:space="preserve"> 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53239" w:rsidRDefault="00753239" w:rsidP="00682C04">
            <w:pPr>
              <w:jc w:val="center"/>
              <w:rPr>
                <w:b/>
                <w:sz w:val="18"/>
                <w:szCs w:val="18"/>
              </w:rPr>
            </w:pPr>
            <w:r>
              <w:rPr>
                <w:b/>
                <w:sz w:val="18"/>
                <w:szCs w:val="18"/>
              </w:rPr>
              <w:t>5,0</w:t>
            </w:r>
          </w:p>
        </w:tc>
        <w:tc>
          <w:tcPr>
            <w:tcW w:w="1276" w:type="dxa"/>
            <w:shd w:val="clear" w:color="auto" w:fill="FFFFFF"/>
            <w:vAlign w:val="center"/>
          </w:tcPr>
          <w:p w:rsidR="00753239" w:rsidRDefault="00753239" w:rsidP="00682C04">
            <w:pPr>
              <w:jc w:val="center"/>
              <w:rPr>
                <w:b/>
                <w:sz w:val="18"/>
                <w:szCs w:val="18"/>
              </w:rPr>
            </w:pPr>
            <w:r>
              <w:rPr>
                <w:b/>
                <w:sz w:val="18"/>
                <w:szCs w:val="18"/>
              </w:rPr>
              <w:t>1 312,50</w:t>
            </w:r>
          </w:p>
        </w:tc>
        <w:tc>
          <w:tcPr>
            <w:tcW w:w="1559" w:type="dxa"/>
            <w:shd w:val="clear" w:color="auto" w:fill="FFFFFF"/>
            <w:vAlign w:val="center"/>
          </w:tcPr>
          <w:p w:rsidR="00753239" w:rsidRDefault="00753239" w:rsidP="00682C04">
            <w:pPr>
              <w:jc w:val="center"/>
              <w:rPr>
                <w:b/>
                <w:sz w:val="18"/>
                <w:szCs w:val="18"/>
              </w:rPr>
            </w:pPr>
            <w:r>
              <w:rPr>
                <w:b/>
                <w:sz w:val="18"/>
                <w:szCs w:val="18"/>
              </w:rPr>
              <w:t>65,63</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753239">
        <w:rPr>
          <w:color w:val="000000"/>
          <w:sz w:val="22"/>
          <w:szCs w:val="22"/>
        </w:rPr>
        <w:t>4</w:t>
      </w:r>
      <w:r w:rsidR="009146CF" w:rsidRPr="00F46432">
        <w:rPr>
          <w:color w:val="000000"/>
          <w:sz w:val="22"/>
          <w:szCs w:val="22"/>
        </w:rPr>
        <w:t xml:space="preserve"> </w:t>
      </w:r>
      <w:r w:rsidR="00753239">
        <w:rPr>
          <w:color w:val="000000"/>
          <w:sz w:val="22"/>
          <w:szCs w:val="22"/>
        </w:rPr>
        <w:t>сентября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w:t>
      </w:r>
      <w:r w:rsidR="005A519C" w:rsidRPr="00F46432">
        <w:rPr>
          <w:color w:val="000000"/>
          <w:sz w:val="22"/>
          <w:szCs w:val="22"/>
        </w:rPr>
        <w:lastRenderedPageBreak/>
        <w:t>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5537CE">
      <w:rPr>
        <w:rFonts w:ascii="Times New Roman" w:hAnsi="Times New Roman" w:cs="Times New Roman"/>
        <w:noProof/>
        <w:sz w:val="16"/>
        <w:szCs w:val="16"/>
      </w:rPr>
      <w:t>1</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753239" w:rsidRPr="00AE50BD" w:rsidRDefault="00753239" w:rsidP="00753239">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753239" w:rsidRPr="00AE50BD" w:rsidRDefault="00753239" w:rsidP="00753239">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753239" w:rsidRPr="002639C5" w:rsidRDefault="00753239" w:rsidP="00753239">
      <w:pPr>
        <w:pStyle w:val="a8"/>
        <w:jc w:val="both"/>
        <w:rPr>
          <w:rFonts w:ascii="Times New Roman" w:hAnsi="Times New Roman"/>
          <w:sz w:val="16"/>
          <w:szCs w:val="16"/>
        </w:rPr>
      </w:pPr>
    </w:p>
    <w:p w:rsidR="00753239" w:rsidRDefault="00753239" w:rsidP="00753239">
      <w:pPr>
        <w:pStyle w:val="a8"/>
        <w:jc w:val="both"/>
        <w:rPr>
          <w:rFonts w:ascii="Times New Roman" w:hAnsi="Times New Roman"/>
          <w:sz w:val="16"/>
          <w:szCs w:val="16"/>
        </w:rPr>
      </w:pPr>
    </w:p>
    <w:p w:rsidR="00753239" w:rsidRDefault="00753239" w:rsidP="00753239">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13BC"/>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BE09-70E0-41C0-9A85-01C1D1B2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7</Pages>
  <Words>2562</Words>
  <Characters>17097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19620</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30</cp:revision>
  <cp:lastPrinted>2021-12-22T07:16:00Z</cp:lastPrinted>
  <dcterms:created xsi:type="dcterms:W3CDTF">2023-11-01T07:35:00Z</dcterms:created>
  <dcterms:modified xsi:type="dcterms:W3CDTF">2025-08-06T13:00:00Z</dcterms:modified>
</cp:coreProperties>
</file>